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9DFB87" w14:textId="77777777" w:rsidR="00C634DC" w:rsidRDefault="006D18D6">
      <w:pPr>
        <w:pStyle w:val="Header"/>
        <w:tabs>
          <w:tab w:val="clear" w:pos="9072"/>
          <w:tab w:val="right" w:pos="9046"/>
        </w:tabs>
        <w:rPr>
          <w:rStyle w:val="None"/>
          <w:rFonts w:ascii="Arial" w:eastAsia="Arial" w:hAnsi="Arial" w:cs="Arial"/>
        </w:rPr>
      </w:pPr>
      <w:r>
        <w:rPr>
          <w:rStyle w:val="None"/>
          <w:rFonts w:ascii="Arial" w:eastAsia="Arial" w:hAnsi="Arial" w:cs="Arial"/>
          <w:noProof/>
        </w:rPr>
        <w:drawing>
          <wp:anchor distT="57150" distB="57150" distL="57150" distR="57150" simplePos="0" relativeHeight="251659264" behindDoc="0" locked="0" layoutInCell="1" allowOverlap="1" wp14:anchorId="709DFB94" wp14:editId="709DFB95">
            <wp:simplePos x="0" y="0"/>
            <wp:positionH relativeFrom="page">
              <wp:posOffset>4535142</wp:posOffset>
            </wp:positionH>
            <wp:positionV relativeFrom="page">
              <wp:posOffset>492483</wp:posOffset>
            </wp:positionV>
            <wp:extent cx="2115212" cy="614294"/>
            <wp:effectExtent l="0" t="0" r="0" b="0"/>
            <wp:wrapSquare wrapText="bothSides" distT="57150" distB="57150" distL="57150" distR="57150"/>
            <wp:docPr id="1073741825" name="officeArt object" descr="C:\Users\gizem.sozundeduran\AppData\Local\Microsoft\Windows\Temporary Internet Files\Content.Outlook\S3HT62BF\vitra logo NO REG black 7.jpg"/>
            <wp:cNvGraphicFramePr/>
            <a:graphic xmlns:a="http://schemas.openxmlformats.org/drawingml/2006/main">
              <a:graphicData uri="http://schemas.openxmlformats.org/drawingml/2006/picture">
                <pic:pic xmlns:pic="http://schemas.openxmlformats.org/drawingml/2006/picture">
                  <pic:nvPicPr>
                    <pic:cNvPr id="1073741825" name="C:\Users\gizem.sozundeduran\AppData\Local\Microsoft\Windows\Temporary Internet Files\Content.Outlook\S3HT62BF\vitra logo NO REG black 7.jpg" descr="C:\Users\gizem.sozundeduran\AppData\Local\Microsoft\Windows\Temporary Internet Files\Content.Outlook\S3HT62BF\vitra logo NO REG black 7.jpg"/>
                    <pic:cNvPicPr>
                      <a:picLocks noChangeAspect="1"/>
                    </pic:cNvPicPr>
                  </pic:nvPicPr>
                  <pic:blipFill>
                    <a:blip r:embed="rId6"/>
                    <a:stretch>
                      <a:fillRect/>
                    </a:stretch>
                  </pic:blipFill>
                  <pic:spPr>
                    <a:xfrm>
                      <a:off x="0" y="0"/>
                      <a:ext cx="2115212" cy="614294"/>
                    </a:xfrm>
                    <a:prstGeom prst="rect">
                      <a:avLst/>
                    </a:prstGeom>
                    <a:ln w="12700" cap="flat">
                      <a:noFill/>
                      <a:miter lim="400000"/>
                    </a:ln>
                    <a:effectLst/>
                  </pic:spPr>
                </pic:pic>
              </a:graphicData>
            </a:graphic>
          </wp:anchor>
        </w:drawing>
      </w:r>
    </w:p>
    <w:p w14:paraId="709DFB88" w14:textId="77777777" w:rsidR="00C634DC" w:rsidRDefault="006D18D6">
      <w:pPr>
        <w:pStyle w:val="Header"/>
        <w:tabs>
          <w:tab w:val="clear" w:pos="9072"/>
          <w:tab w:val="right" w:pos="9046"/>
        </w:tabs>
        <w:rPr>
          <w:rStyle w:val="None"/>
          <w:rFonts w:ascii="Arial" w:eastAsia="Arial" w:hAnsi="Arial" w:cs="Arial"/>
          <w:sz w:val="28"/>
          <w:szCs w:val="28"/>
        </w:rPr>
      </w:pPr>
      <w:r>
        <w:rPr>
          <w:rStyle w:val="None"/>
          <w:rFonts w:ascii="Arial" w:hAnsi="Arial"/>
          <w:color w:val="535353"/>
          <w:sz w:val="28"/>
          <w:szCs w:val="28"/>
          <w:u w:color="535353"/>
        </w:rPr>
        <w:t xml:space="preserve">Basın </w:t>
      </w:r>
      <w:proofErr w:type="spellStart"/>
      <w:r>
        <w:rPr>
          <w:rStyle w:val="None"/>
          <w:rFonts w:ascii="Arial" w:hAnsi="Arial"/>
          <w:color w:val="535353"/>
          <w:sz w:val="28"/>
          <w:szCs w:val="28"/>
          <w:u w:color="535353"/>
        </w:rPr>
        <w:t>Bülteni</w:t>
      </w:r>
      <w:proofErr w:type="spellEnd"/>
      <w:r>
        <w:rPr>
          <w:rStyle w:val="None"/>
          <w:rFonts w:ascii="Arial" w:eastAsia="Arial" w:hAnsi="Arial" w:cs="Arial"/>
          <w:noProof/>
          <w:sz w:val="28"/>
          <w:szCs w:val="28"/>
        </w:rPr>
        <mc:AlternateContent>
          <mc:Choice Requires="wps">
            <w:drawing>
              <wp:inline distT="0" distB="0" distL="0" distR="0" wp14:anchorId="709DFB96" wp14:editId="709DFB97">
                <wp:extent cx="5756787" cy="18455"/>
                <wp:effectExtent l="0" t="0" r="0" b="0"/>
                <wp:docPr id="1073741826" name="officeArt object" descr="Rectangle"/>
                <wp:cNvGraphicFramePr/>
                <a:graphic xmlns:a="http://schemas.openxmlformats.org/drawingml/2006/main">
                  <a:graphicData uri="http://schemas.microsoft.com/office/word/2010/wordprocessingShape">
                    <wps:wsp>
                      <wps:cNvSpPr/>
                      <wps:spPr>
                        <a:xfrm>
                          <a:off x="0" y="0"/>
                          <a:ext cx="5756787" cy="18455"/>
                        </a:xfrm>
                        <a:prstGeom prst="rect">
                          <a:avLst/>
                        </a:prstGeom>
                        <a:solidFill>
                          <a:srgbClr val="A0A0A0"/>
                        </a:solidFill>
                        <a:ln w="12700" cap="flat">
                          <a:noFill/>
                          <a:miter lim="400000"/>
                        </a:ln>
                        <a:effectLst/>
                      </wps:spPr>
                      <wps:bodyPr/>
                    </wps:wsp>
                  </a:graphicData>
                </a:graphic>
              </wp:inline>
            </w:drawing>
          </mc:Choice>
          <mc:Fallback>
            <w:pict>
              <v:rect id="_x0000_s1026" style="visibility:visible;width:453.3pt;height:1.5pt;">
                <v:fill color="#A0A0A0" opacity="100.0%" type="solid"/>
                <v:stroke on="f" weight="1.0pt" dashstyle="solid" endcap="flat" miterlimit="400.0%" joinstyle="miter" linestyle="single" startarrow="none" startarrowwidth="medium" startarrowlength="medium" endarrow="none" endarrowwidth="medium" endarrowlength="medium"/>
              </v:rect>
            </w:pict>
          </mc:Fallback>
        </mc:AlternateContent>
      </w:r>
    </w:p>
    <w:p w14:paraId="709DFB89" w14:textId="77777777" w:rsidR="00C634DC" w:rsidRDefault="00C634DC">
      <w:pPr>
        <w:pStyle w:val="Header"/>
        <w:tabs>
          <w:tab w:val="clear" w:pos="9072"/>
          <w:tab w:val="right" w:pos="9046"/>
        </w:tabs>
        <w:rPr>
          <w:rStyle w:val="None"/>
          <w:rFonts w:ascii="Arial" w:eastAsia="Arial" w:hAnsi="Arial" w:cs="Arial"/>
        </w:rPr>
      </w:pPr>
    </w:p>
    <w:p w14:paraId="709DFB8A" w14:textId="5C57DD8C" w:rsidR="00C634DC" w:rsidRDefault="006D18D6">
      <w:pPr>
        <w:pStyle w:val="Default"/>
        <w:tabs>
          <w:tab w:val="center" w:pos="4536"/>
          <w:tab w:val="right" w:pos="9046"/>
        </w:tabs>
        <w:jc w:val="right"/>
        <w:rPr>
          <w:rStyle w:val="None"/>
          <w:rFonts w:ascii="Arial" w:eastAsia="Arial" w:hAnsi="Arial" w:cs="Arial"/>
          <w:lang w:val="en-US"/>
        </w:rPr>
      </w:pPr>
      <w:r>
        <w:rPr>
          <w:rStyle w:val="None"/>
          <w:rFonts w:ascii="Arial" w:hAnsi="Arial"/>
          <w:lang w:val="en-US"/>
        </w:rPr>
        <w:t xml:space="preserve">18 </w:t>
      </w:r>
      <w:proofErr w:type="spellStart"/>
      <w:r>
        <w:rPr>
          <w:rStyle w:val="None"/>
          <w:rFonts w:ascii="Arial" w:hAnsi="Arial"/>
          <w:lang w:val="en-US"/>
        </w:rPr>
        <w:t>Temmuz</w:t>
      </w:r>
      <w:proofErr w:type="spellEnd"/>
      <w:r>
        <w:rPr>
          <w:rStyle w:val="None"/>
          <w:rFonts w:ascii="Arial" w:hAnsi="Arial"/>
          <w:lang w:val="en-US"/>
        </w:rPr>
        <w:t xml:space="preserve"> 2025</w:t>
      </w:r>
    </w:p>
    <w:p w14:paraId="709DFB8B" w14:textId="77777777" w:rsidR="00C634DC" w:rsidRDefault="00C634DC">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rFonts w:ascii="Arial" w:eastAsia="Arial" w:hAnsi="Arial" w:cs="Arial"/>
          <w:sz w:val="48"/>
          <w:szCs w:val="48"/>
        </w:rPr>
      </w:pPr>
    </w:p>
    <w:p w14:paraId="709DFB8C" w14:textId="77777777" w:rsidR="00C634DC" w:rsidRDefault="006D18D6">
      <w:pPr>
        <w:pStyle w:val="BodyB"/>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rFonts w:ascii="Arial" w:eastAsia="Arial" w:hAnsi="Arial" w:cs="Arial"/>
          <w:sz w:val="48"/>
          <w:szCs w:val="48"/>
        </w:rPr>
      </w:pPr>
      <w:proofErr w:type="spellStart"/>
      <w:r>
        <w:rPr>
          <w:rStyle w:val="None"/>
          <w:rFonts w:ascii="Arial" w:hAnsi="Arial"/>
          <w:sz w:val="48"/>
          <w:szCs w:val="48"/>
        </w:rPr>
        <w:t>Eczacıbaşı</w:t>
      </w:r>
      <w:proofErr w:type="spellEnd"/>
      <w:r>
        <w:rPr>
          <w:rStyle w:val="None"/>
          <w:rFonts w:ascii="Arial" w:hAnsi="Arial"/>
          <w:sz w:val="48"/>
          <w:szCs w:val="48"/>
        </w:rPr>
        <w:t xml:space="preserve"> </w:t>
      </w:r>
      <w:proofErr w:type="spellStart"/>
      <w:r>
        <w:rPr>
          <w:rStyle w:val="None"/>
          <w:rFonts w:ascii="Arial" w:hAnsi="Arial"/>
          <w:sz w:val="48"/>
          <w:szCs w:val="48"/>
        </w:rPr>
        <w:t>Yapı</w:t>
      </w:r>
      <w:proofErr w:type="spellEnd"/>
      <w:r>
        <w:rPr>
          <w:rStyle w:val="None"/>
          <w:rFonts w:ascii="Arial" w:hAnsi="Arial"/>
          <w:sz w:val="48"/>
          <w:szCs w:val="48"/>
        </w:rPr>
        <w:t xml:space="preserve"> </w:t>
      </w:r>
      <w:proofErr w:type="spellStart"/>
      <w:r>
        <w:rPr>
          <w:rStyle w:val="None"/>
          <w:rFonts w:ascii="Arial" w:hAnsi="Arial"/>
          <w:sz w:val="48"/>
          <w:szCs w:val="48"/>
        </w:rPr>
        <w:t>Gereçleri’ne</w:t>
      </w:r>
      <w:proofErr w:type="spellEnd"/>
      <w:r>
        <w:rPr>
          <w:rStyle w:val="None"/>
          <w:rFonts w:ascii="Arial" w:hAnsi="Arial"/>
          <w:sz w:val="48"/>
          <w:szCs w:val="48"/>
        </w:rPr>
        <w:t xml:space="preserve"> </w:t>
      </w:r>
      <w:proofErr w:type="spellStart"/>
      <w:r>
        <w:rPr>
          <w:rStyle w:val="None"/>
          <w:rFonts w:ascii="Arial" w:hAnsi="Arial"/>
          <w:sz w:val="48"/>
          <w:szCs w:val="48"/>
        </w:rPr>
        <w:t>EcoVadis’ten</w:t>
      </w:r>
      <w:proofErr w:type="spellEnd"/>
      <w:r>
        <w:rPr>
          <w:rStyle w:val="None"/>
          <w:rFonts w:ascii="Arial" w:hAnsi="Arial"/>
          <w:sz w:val="48"/>
          <w:szCs w:val="48"/>
        </w:rPr>
        <w:t xml:space="preserve"> </w:t>
      </w:r>
      <w:proofErr w:type="spellStart"/>
      <w:r>
        <w:rPr>
          <w:rStyle w:val="None"/>
          <w:rFonts w:ascii="Arial" w:hAnsi="Arial"/>
          <w:sz w:val="48"/>
          <w:szCs w:val="48"/>
        </w:rPr>
        <w:t>bronz</w:t>
      </w:r>
      <w:proofErr w:type="spellEnd"/>
      <w:r>
        <w:rPr>
          <w:rStyle w:val="None"/>
          <w:rFonts w:ascii="Arial" w:hAnsi="Arial"/>
          <w:sz w:val="48"/>
          <w:szCs w:val="48"/>
        </w:rPr>
        <w:t xml:space="preserve"> </w:t>
      </w:r>
      <w:proofErr w:type="spellStart"/>
      <w:r>
        <w:rPr>
          <w:rStyle w:val="None"/>
          <w:rFonts w:ascii="Arial" w:hAnsi="Arial"/>
          <w:sz w:val="48"/>
          <w:szCs w:val="48"/>
        </w:rPr>
        <w:t>madalya</w:t>
      </w:r>
      <w:proofErr w:type="spellEnd"/>
    </w:p>
    <w:p w14:paraId="709DFB8D" w14:textId="77777777" w:rsidR="00C634DC" w:rsidRDefault="00C634DC">
      <w:pPr>
        <w:pStyle w:val="BodyB"/>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rFonts w:ascii="Arial" w:eastAsia="Arial" w:hAnsi="Arial" w:cs="Arial"/>
          <w:sz w:val="48"/>
          <w:szCs w:val="48"/>
        </w:rPr>
      </w:pPr>
    </w:p>
    <w:p w14:paraId="709DFB8E" w14:textId="29CC49F6" w:rsidR="00C634DC" w:rsidRDefault="006D18D6">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rPr>
          <w:rStyle w:val="None"/>
          <w:rFonts w:ascii="Arial" w:eastAsia="Arial" w:hAnsi="Arial" w:cs="Arial"/>
          <w:i/>
          <w:iCs/>
          <w:sz w:val="48"/>
          <w:szCs w:val="48"/>
        </w:rPr>
      </w:pPr>
      <w:r>
        <w:rPr>
          <w:rStyle w:val="None"/>
          <w:rFonts w:ascii="Arial" w:hAnsi="Arial"/>
          <w:i/>
          <w:iCs/>
          <w:sz w:val="26"/>
          <w:szCs w:val="26"/>
        </w:rPr>
        <w:t>EcoVadis Sürdürülebilirlik Değerlendirmesi kapsamında 2021’den bu yana istikrarlı bir yükselişe imza atan Eczacıbaşı Yapı Gereçleri, bronz madalya almaya hak kazandı. Dünya çapında değerlendirilen şirketler arasında ise en iyi %35’lik dilime girdi.</w:t>
      </w:r>
    </w:p>
    <w:p w14:paraId="709DFB8F" w14:textId="77777777" w:rsidR="00C634DC" w:rsidRDefault="00C634DC">
      <w:pPr>
        <w:pStyle w:val="BodyB"/>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rFonts w:ascii="Arial" w:eastAsia="Arial" w:hAnsi="Arial" w:cs="Arial"/>
          <w:sz w:val="48"/>
          <w:szCs w:val="48"/>
          <w:lang w:val="da-DK"/>
        </w:rPr>
      </w:pPr>
    </w:p>
    <w:p w14:paraId="709DFB90" w14:textId="74769301" w:rsidR="00C634DC" w:rsidRDefault="006D18D6">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rPr>
          <w:rStyle w:val="None"/>
          <w:rFonts w:ascii="Arial" w:eastAsia="Arial" w:hAnsi="Arial" w:cs="Arial"/>
        </w:rPr>
      </w:pPr>
      <w:r>
        <w:rPr>
          <w:rStyle w:val="None"/>
          <w:rFonts w:ascii="Arial" w:hAnsi="Arial"/>
        </w:rPr>
        <w:t xml:space="preserve">75’ten fazla ülkede faaliyet gösteren Eczacıbaşı Yapı Gereçleri, EcoVadis Sürdürülebilirlik Değerlendirmesi’nin 2025 sonuçlarına göre bronz madalya ile ödüllendirildi. 2021’den bu yana çevresel, sosyal ve yönetişim performansını kararlı biçimde artıran şirket, </w:t>
      </w:r>
      <w:r w:rsidRPr="00A03BFA">
        <w:rPr>
          <w:rStyle w:val="None"/>
          <w:rFonts w:ascii="Arial" w:hAnsi="Arial"/>
        </w:rPr>
        <w:t>sürdürülebilirlik alanındaki gelişimini güçlendirmeyi sürdürdü</w:t>
      </w:r>
      <w:r>
        <w:rPr>
          <w:rStyle w:val="None"/>
          <w:rFonts w:ascii="Arial" w:hAnsi="Arial"/>
        </w:rPr>
        <w:t>. Bu yılki puan artışının, çevre, işgücü ve insan hakları, etik ve sürdürülebilir tedarik başlıklarında sağlanan somut iyileştirmelere dayandığı açıklandı. Eczacıbaşı Yapı Gereçleri ayrıca, EcoVadis tarafından dünya çapında değerlendirilen şirketler arasında en iyi %35’lik dilime girdi.</w:t>
      </w:r>
    </w:p>
    <w:p w14:paraId="709DFB91" w14:textId="77777777" w:rsidR="00C634DC" w:rsidRDefault="00C634DC">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rPr>
          <w:rStyle w:val="None"/>
          <w:rFonts w:ascii="Arial" w:eastAsia="Arial" w:hAnsi="Arial" w:cs="Arial"/>
        </w:rPr>
      </w:pPr>
    </w:p>
    <w:p w14:paraId="709DFB92" w14:textId="6A37D0C2" w:rsidR="00C634DC" w:rsidRDefault="006D18D6">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rPr>
          <w:rStyle w:val="None"/>
          <w:rFonts w:ascii="Arial" w:eastAsia="Arial" w:hAnsi="Arial" w:cs="Arial"/>
        </w:rPr>
      </w:pPr>
      <w:r>
        <w:rPr>
          <w:rStyle w:val="None"/>
          <w:rFonts w:ascii="Arial" w:hAnsi="Arial"/>
        </w:rPr>
        <w:t>EcoVadis’ten aldıkları bronz madalyanın, uluslararası beklentilerle uyum içinde şeffaf, kanıta dayalı performans sunma taahhütlerini güçlendirdiğine dikkat çeken Eczacıbaşı Yapı Gereçleri CEO’su Hasan Pehlivan, “EcoVadis değerlendirmesi, sürdürülebilirlik performansımızı objektif olarak ölçerken, iyileştirme alanlarımızı da net bir şekilde ortaya koyuyor. Bu süreci, büyüme ve hesap verebilirlik için önemli bir vesile olarak görüyoruz” dedi. Hasan Pehlivan, Eczacıbaşı Yapı Gereçleri’nin VitrA v</w:t>
      </w:r>
      <w:r w:rsidR="00A03BFA">
        <w:rPr>
          <w:rStyle w:val="None"/>
          <w:rFonts w:ascii="Arial" w:hAnsi="Arial"/>
        </w:rPr>
        <w:t>markası</w:t>
      </w:r>
      <w:r>
        <w:rPr>
          <w:rStyle w:val="None"/>
          <w:rFonts w:ascii="Arial" w:hAnsi="Arial"/>
        </w:rPr>
        <w:t xml:space="preserve"> için sürdürülebilirliği yalnızca stratejik bir hedef değil, aynı zamanda günlük iş kararlarının ayrılmaz bir parçası olarak gördüklerini de sözlerine ekledi. </w:t>
      </w:r>
    </w:p>
    <w:p w14:paraId="709DFB93" w14:textId="77777777" w:rsidR="00C634DC" w:rsidRDefault="00C634DC">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pPr>
    </w:p>
    <w:sectPr w:rsidR="00C634DC">
      <w:headerReference w:type="default" r:id="rId7"/>
      <w:footerReference w:type="default" r:id="rId8"/>
      <w:pgSz w:w="11900" w:h="16840"/>
      <w:pgMar w:top="1417" w:right="1417" w:bottom="1417"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DFBA4" w14:textId="77777777" w:rsidR="006D18D6" w:rsidRDefault="006D18D6">
      <w:r>
        <w:separator/>
      </w:r>
    </w:p>
  </w:endnote>
  <w:endnote w:type="continuationSeparator" w:id="0">
    <w:p w14:paraId="709DFBA6" w14:textId="77777777" w:rsidR="006D18D6" w:rsidRDefault="006D1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Arial Unicode MS">
    <w:panose1 w:val="020B0604020202020204"/>
    <w:charset w:val="00"/>
    <w:family w:val="roman"/>
    <w:pitch w:val="default"/>
  </w:font>
  <w:font w:name="Helvetica Neue">
    <w:altName w:val="Arial"/>
    <w:charset w:val="00"/>
    <w:family w:val="roman"/>
    <w:pitch w:val="default"/>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Helvetica">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DFB9D" w14:textId="77777777" w:rsidR="00C634DC" w:rsidRDefault="006D18D6">
    <w:pPr>
      <w:pStyle w:val="BodyA"/>
      <w:tabs>
        <w:tab w:val="center" w:pos="4536"/>
        <w:tab w:val="right" w:pos="9044"/>
      </w:tabs>
      <w:jc w:val="center"/>
      <w:rPr>
        <w:rFonts w:ascii="Arial" w:eastAsia="Arial" w:hAnsi="Arial" w:cs="Arial"/>
        <w:b/>
        <w:bCs/>
        <w:sz w:val="16"/>
        <w:szCs w:val="16"/>
      </w:rPr>
    </w:pPr>
    <w:r>
      <w:rPr>
        <w:rFonts w:ascii="Arial" w:hAnsi="Arial"/>
        <w:b/>
        <w:bCs/>
        <w:sz w:val="16"/>
        <w:szCs w:val="16"/>
      </w:rPr>
      <w:t>VitrA İletişim Ekibi</w:t>
    </w:r>
  </w:p>
  <w:p w14:paraId="709DFB9E" w14:textId="77777777" w:rsidR="00C634DC" w:rsidRDefault="006D18D6">
    <w:pPr>
      <w:pStyle w:val="BodyA"/>
      <w:tabs>
        <w:tab w:val="center" w:pos="4536"/>
        <w:tab w:val="right" w:pos="9044"/>
      </w:tabs>
      <w:jc w:val="center"/>
      <w:rPr>
        <w:rFonts w:ascii="Arial" w:eastAsia="Arial" w:hAnsi="Arial" w:cs="Arial"/>
        <w:sz w:val="16"/>
        <w:szCs w:val="16"/>
      </w:rPr>
    </w:pPr>
    <w:r>
      <w:rPr>
        <w:rFonts w:ascii="Arial" w:hAnsi="Arial"/>
        <w:sz w:val="16"/>
        <w:szCs w:val="16"/>
      </w:rPr>
      <w:t>Büyükdere Cd. Ali Kaya Sk. No:7 Levent 34394 İstanbul</w:t>
    </w:r>
  </w:p>
  <w:p w14:paraId="709DFB9F" w14:textId="77777777" w:rsidR="00C634DC" w:rsidRDefault="006D18D6">
    <w:pPr>
      <w:pStyle w:val="BodyA"/>
      <w:tabs>
        <w:tab w:val="center" w:pos="4536"/>
        <w:tab w:val="right" w:pos="9044"/>
      </w:tabs>
      <w:jc w:val="center"/>
    </w:pPr>
    <w:hyperlink r:id="rId1" w:history="1">
      <w:r>
        <w:rPr>
          <w:rStyle w:val="Hyperlink0"/>
        </w:rPr>
        <w:t>www.vitra.com.tr</w:t>
      </w:r>
    </w:hyperlink>
    <w:r>
      <w:rPr>
        <w:rStyle w:val="None"/>
        <w:rFonts w:ascii="Arial" w:hAnsi="Arial"/>
        <w:sz w:val="16"/>
        <w:szCs w:val="16"/>
      </w:rPr>
      <w:t xml:space="preserve"> | </w:t>
    </w:r>
    <w:r>
      <w:rPr>
        <w:rStyle w:val="None"/>
        <w:rFonts w:ascii="Arial" w:hAnsi="Arial"/>
        <w:sz w:val="16"/>
        <w:szCs w:val="16"/>
        <w:u w:val="single"/>
      </w:rPr>
      <w:t>vitrakaro.iletisim@vitra.com.tr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DFBA0" w14:textId="77777777" w:rsidR="006D18D6" w:rsidRDefault="006D18D6">
      <w:r>
        <w:separator/>
      </w:r>
    </w:p>
  </w:footnote>
  <w:footnote w:type="continuationSeparator" w:id="0">
    <w:p w14:paraId="709DFBA2" w14:textId="77777777" w:rsidR="006D18D6" w:rsidRDefault="006D18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DFB9C" w14:textId="77777777" w:rsidR="00C634DC" w:rsidRDefault="00C634DC">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34DC"/>
    <w:rsid w:val="006D18D6"/>
    <w:rsid w:val="007E4E04"/>
    <w:rsid w:val="00A03BFA"/>
    <w:rsid w:val="00A17149"/>
    <w:rsid w:val="00B8518E"/>
    <w:rsid w:val="00C634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9DFB87"/>
  <w15:docId w15:val="{5AE6CF92-8846-4BB1-9967-E37E603DA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BodyA">
    <w:name w:val="Body A"/>
    <w:rPr>
      <w:rFonts w:cs="Arial Unicode MS"/>
      <w:color w:val="000000"/>
      <w:sz w:val="24"/>
      <w:szCs w:val="24"/>
      <w:u w:color="000000"/>
      <w:lang w:val="pt-PT"/>
      <w14:textOutline w14:w="12700" w14:cap="flat" w14:cmpd="sng" w14:algn="ctr">
        <w14:noFill/>
        <w14:prstDash w14:val="solid"/>
        <w14:miter w14:lim="400000"/>
      </w14:textOutline>
    </w:rPr>
  </w:style>
  <w:style w:type="character" w:customStyle="1" w:styleId="None">
    <w:name w:val="None"/>
  </w:style>
  <w:style w:type="character" w:customStyle="1" w:styleId="Hyperlink0">
    <w:name w:val="Hyperlink.0"/>
    <w:basedOn w:val="None"/>
    <w:rPr>
      <w:rFonts w:ascii="Arial" w:eastAsia="Arial" w:hAnsi="Arial" w:cs="Arial"/>
      <w:outline w:val="0"/>
      <w:color w:val="0000FF"/>
      <w:sz w:val="16"/>
      <w:szCs w:val="16"/>
      <w:u w:val="single" w:color="0000FF"/>
    </w:rPr>
  </w:style>
  <w:style w:type="paragraph" w:styleId="Header">
    <w:name w:val="header"/>
    <w:pPr>
      <w:tabs>
        <w:tab w:val="center" w:pos="4536"/>
        <w:tab w:val="right" w:pos="9072"/>
      </w:tabs>
    </w:pPr>
    <w:rPr>
      <w:rFonts w:ascii="Calibri" w:eastAsia="Calibri" w:hAnsi="Calibri" w:cs="Calibri"/>
      <w:color w:val="000000"/>
      <w:sz w:val="22"/>
      <w:szCs w:val="22"/>
      <w:u w:color="000000"/>
      <w14:textOutline w14:w="12700" w14:cap="flat" w14:cmpd="sng" w14:algn="ctr">
        <w14:noFill/>
        <w14:prstDash w14:val="solid"/>
        <w14:miter w14:lim="400000"/>
      </w14:textOutline>
    </w:rPr>
  </w:style>
  <w:style w:type="paragraph" w:customStyle="1" w:styleId="Default">
    <w:name w:val="Default"/>
    <w:rPr>
      <w:rFonts w:ascii="Helvetica" w:hAnsi="Helvetica" w:cs="Arial Unicode MS"/>
      <w:color w:val="000000"/>
      <w:sz w:val="22"/>
      <w:szCs w:val="22"/>
      <w:u w:color="000000"/>
      <w:lang w:val="da-DK"/>
      <w14:textOutline w14:w="12700" w14:cap="flat" w14:cmpd="sng" w14:algn="ctr">
        <w14:noFill/>
        <w14:prstDash w14:val="solid"/>
        <w14:miter w14:lim="400000"/>
      </w14:textOutline>
    </w:rPr>
  </w:style>
  <w:style w:type="paragraph" w:customStyle="1" w:styleId="BodyB">
    <w:name w:val="Body B"/>
    <w:rPr>
      <w:rFonts w:cs="Arial Unicode MS"/>
      <w:color w:val="000000"/>
      <w:sz w:val="24"/>
      <w:szCs w:val="24"/>
      <w:u w:color="000000"/>
      <w14:textOutline w14:w="12700" w14:cap="flat" w14:cmpd="sng" w14:algn="ctr">
        <w14:noFill/>
        <w14:prstDash w14:val="solid"/>
        <w14:miter w14:lim="400000"/>
      </w14:textOutline>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A03BFA"/>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vitra.com.tr" TargetMode="Externa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241</Words>
  <Characters>1378</Characters>
  <Application>Microsoft Office Word</Application>
  <DocSecurity>0</DocSecurity>
  <Lines>11</Lines>
  <Paragraphs>3</Paragraphs>
  <ScaleCrop>false</ScaleCrop>
  <Company>Eczacibasi Holding</Company>
  <LinksUpToDate>false</LinksUpToDate>
  <CharactersWithSpaces>1616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Elise Safak</cp:lastModifiedBy>
  <cp:revision>4</cp:revision>
  <dcterms:created xsi:type="dcterms:W3CDTF">2025-07-18T08:07:00Z</dcterms:created>
  <dcterms:modified xsi:type="dcterms:W3CDTF">2025-07-18T08:09:00Z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5a0de8-b827-4bc9-a670-fb2527f18a84_Enabled">
    <vt:lpwstr>true</vt:lpwstr>
  </property>
  <property fmtid="{D5CDD505-2E9C-101B-9397-08002B2CF9AE}" pid="3" name="MSIP_Label_7d5a0de8-b827-4bc9-a670-fb2527f18a84_SetDate">
    <vt:lpwstr>2025-07-18T08:07:25Z</vt:lpwstr>
  </property>
  <property fmtid="{D5CDD505-2E9C-101B-9397-08002B2CF9AE}" pid="4" name="MSIP_Label_7d5a0de8-b827-4bc9-a670-fb2527f18a84_Method">
    <vt:lpwstr>Privileged</vt:lpwstr>
  </property>
  <property fmtid="{D5CDD505-2E9C-101B-9397-08002B2CF9AE}" pid="5" name="MSIP_Label_7d5a0de8-b827-4bc9-a670-fb2527f18a84_Name">
    <vt:lpwstr>Kamuya Açık</vt:lpwstr>
  </property>
  <property fmtid="{D5CDD505-2E9C-101B-9397-08002B2CF9AE}" pid="6" name="MSIP_Label_7d5a0de8-b827-4bc9-a670-fb2527f18a84_SiteId">
    <vt:lpwstr>8d43ffbc-a57a-4d9e-8505-d5f18d7eac9b</vt:lpwstr>
  </property>
  <property fmtid="{D5CDD505-2E9C-101B-9397-08002B2CF9AE}" pid="7" name="MSIP_Label_7d5a0de8-b827-4bc9-a670-fb2527f18a84_ActionId">
    <vt:lpwstr>4ac7c005-05bb-4b18-8577-6bb98cb9d96e</vt:lpwstr>
  </property>
  <property fmtid="{D5CDD505-2E9C-101B-9397-08002B2CF9AE}" pid="8" name="MSIP_Label_7d5a0de8-b827-4bc9-a670-fb2527f18a84_ContentBits">
    <vt:lpwstr>0</vt:lpwstr>
  </property>
  <property fmtid="{D5CDD505-2E9C-101B-9397-08002B2CF9AE}" pid="9" name="MSIP_Label_7d5a0de8-b827-4bc9-a670-fb2527f18a84_Tag">
    <vt:lpwstr>10, 0, 1, 1</vt:lpwstr>
  </property>
</Properties>
</file>